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AE" w:rsidRPr="00AB0EAE" w:rsidRDefault="00AB0EAE" w:rsidP="00AB0EA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МИНИСТЕРСТВО ПРОСВЕЩЕНИЯ РОССИЙСКОЙ ФЕДЕРАЦИИ</w:t>
      </w:r>
    </w:p>
    <w:p w:rsidR="00AB0EAE" w:rsidRPr="00AB0EAE" w:rsidRDefault="00AB0EAE" w:rsidP="00AB0EA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ПИСЬМО</w:t>
      </w:r>
    </w:p>
    <w:p w:rsidR="00AB0EAE" w:rsidRPr="00AB0EAE" w:rsidRDefault="00AB0EAE" w:rsidP="00AB0EA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от 29 августа 2019 года N 06-920</w:t>
      </w: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О </w:t>
      </w:r>
      <w:hyperlink r:id="rId4" w:anchor="6500IL" w:history="1">
        <w:r w:rsidRPr="00AB0EAE">
          <w:rPr>
            <w:rFonts w:ascii="Arial" w:eastAsia="Times New Roman" w:hAnsi="Arial" w:cs="Arial"/>
            <w:b/>
            <w:bCs/>
            <w:color w:val="3451A0"/>
            <w:sz w:val="26"/>
            <w:szCs w:val="26"/>
            <w:u w:val="single"/>
          </w:rPr>
          <w:t>Методических рекомендациях</w:t>
        </w:r>
      </w:hyperlink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В соответствии с </w:t>
      </w:r>
      <w:hyperlink r:id="rId5" w:anchor="7DO0KC" w:history="1">
        <w:r w:rsidRPr="00AB0EAE">
          <w:rPr>
            <w:rFonts w:ascii="Arial" w:eastAsia="Times New Roman" w:hAnsi="Arial" w:cs="Arial"/>
            <w:color w:val="3451A0"/>
            <w:sz w:val="26"/>
            <w:szCs w:val="26"/>
            <w:u w:val="single"/>
          </w:rPr>
          <w:t>пунктом 1(1) постановления 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  </w:r>
      </w:hyperlink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 Департамент государственной политики в сфере воспитания, дополнительного образования и детского отдыха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Минпросвещения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России направляет для использования в работе </w:t>
      </w:r>
      <w:hyperlink r:id="rId6" w:anchor="6500IL" w:history="1">
        <w:r w:rsidRPr="00AB0EAE">
          <w:rPr>
            <w:rFonts w:ascii="Arial" w:eastAsia="Times New Roman" w:hAnsi="Arial" w:cs="Arial"/>
            <w:color w:val="3451A0"/>
            <w:sz w:val="26"/>
            <w:szCs w:val="26"/>
            <w:u w:val="single"/>
          </w:rPr>
          <w:t>Методические рекомендации по планированию и информационному сопровождению мероприятий</w:t>
        </w:r>
        <w:proofErr w:type="gramEnd"/>
        <w:r w:rsidRPr="00AB0EAE">
          <w:rPr>
            <w:rFonts w:ascii="Arial" w:eastAsia="Times New Roman" w:hAnsi="Arial" w:cs="Arial"/>
            <w:color w:val="3451A0"/>
            <w:sz w:val="26"/>
            <w:szCs w:val="26"/>
            <w:u w:val="single"/>
          </w:rPr>
          <w:t xml:space="preserve"> Комплексного плана противодействия идеологии терроризма в Российской Федерации на 2019-2023 годы в субъектах Российской Федерации</w:t>
        </w:r>
      </w:hyperlink>
      <w:r w:rsidRPr="00AB0EAE">
        <w:rPr>
          <w:rFonts w:ascii="Arial" w:eastAsia="Times New Roman" w:hAnsi="Arial" w:cs="Arial"/>
          <w:color w:val="444444"/>
          <w:sz w:val="26"/>
          <w:szCs w:val="26"/>
        </w:rPr>
        <w:t>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Директор департамента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  <w:t>государственной политики в сфере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  <w:t>воспитания, дополнительного образования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  <w:t>и детского отдыха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  <w:t>И.А.Михеев</w:t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Методические рекомендации по планированию и информационному сопровождению </w:t>
      </w:r>
      <w:proofErr w:type="gramStart"/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мероприятий Комплексного плана противодействия идеологии терроризма</w:t>
      </w:r>
      <w:proofErr w:type="gramEnd"/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в Российской Федерации на 2019-2023 годы в субъектах Российской Федерации</w:t>
      </w: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Общие положения</w:t>
      </w:r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Настоящие методические рекомендации разработаны в соответствии с </w:t>
      </w:r>
      <w:hyperlink r:id="rId7" w:anchor="7DO0KC" w:history="1">
        <w:r w:rsidRPr="00AB0EAE">
          <w:rPr>
            <w:rFonts w:ascii="Arial" w:eastAsia="Times New Roman" w:hAnsi="Arial" w:cs="Arial"/>
            <w:color w:val="3451A0"/>
            <w:sz w:val="26"/>
            <w:szCs w:val="26"/>
            <w:u w:val="single"/>
          </w:rPr>
          <w:t>пунктами 1(1)</w:t>
        </w:r>
      </w:hyperlink>
      <w:r w:rsidRPr="00AB0EAE">
        <w:rPr>
          <w:rFonts w:ascii="Arial" w:eastAsia="Times New Roman" w:hAnsi="Arial" w:cs="Arial"/>
          <w:color w:val="444444"/>
          <w:sz w:val="26"/>
          <w:szCs w:val="26"/>
        </w:rPr>
        <w:t> и </w:t>
      </w:r>
      <w:hyperlink r:id="rId8" w:anchor="6500IL" w:history="1">
        <w:r w:rsidRPr="00AB0EAE">
          <w:rPr>
            <w:rFonts w:ascii="Arial" w:eastAsia="Times New Roman" w:hAnsi="Arial" w:cs="Arial"/>
            <w:color w:val="3451A0"/>
            <w:sz w:val="26"/>
            <w:szCs w:val="26"/>
            <w:u w:val="single"/>
          </w:rPr>
          <w:t>2 постановления 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  </w:r>
      </w:hyperlink>
      <w:r w:rsidRPr="00AB0EAE">
        <w:rPr>
          <w:rFonts w:ascii="Arial" w:eastAsia="Times New Roman" w:hAnsi="Arial" w:cs="Arial"/>
          <w:color w:val="444444"/>
          <w:sz w:val="26"/>
          <w:szCs w:val="26"/>
        </w:rPr>
        <w:t>, а также Комплексным планом противодействия идеологии терроризма в Российской Федерации на 2019-2023 годы </w:t>
      </w:r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(далее соответственно - Рекомендации, Комплексный план)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t> и предназначены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для органов исполнительной власти субъектов Российской Федерации, осуществляющих государственное управление в сфере образования, а также общеобразовательных и 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lastRenderedPageBreak/>
        <w:t>профессиональных образовательных организаций.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Рекомендации призваны помочь при планировании и реализации мероприятий, направленных на профилактику распространения идеологии терроризма среди детей и молодежи, в том числе входящих в Комплексный план.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Планирование работы по организации мероприятий Комплексного плана</w:t>
      </w:r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Согласно </w:t>
      </w:r>
      <w:hyperlink r:id="rId9" w:anchor="64U0IK" w:history="1">
        <w:r w:rsidRPr="00AB0EAE">
          <w:rPr>
            <w:rFonts w:ascii="Arial" w:eastAsia="Times New Roman" w:hAnsi="Arial" w:cs="Arial"/>
            <w:color w:val="3451A0"/>
            <w:sz w:val="26"/>
            <w:szCs w:val="26"/>
            <w:u w:val="single"/>
          </w:rPr>
          <w:t>Концепции противодействия терроризму в Российской Федерации</w:t>
        </w:r>
      </w:hyperlink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 к основным мерам по предупреждению (профилактике) терроризма относятся: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культурно-образовательные (пропаганда социально значимых ценностей и создание условий для мирного межнационального и межконфессионального диалога) (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см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>. </w:t>
      </w:r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рис.1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t>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При планировании мероприятий по противодействию идеологии терроризма среди детей и молодежи необходимо предусмотреть в каждом регионе (муниципалитете) субъектов Российской Федерации не менее одного мероприятия по конкретному направлению, лишь в этом случае выполнение Комплексного плана будет 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эффективным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и иметь положительные результаты.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Важно учесть, что меры по предупреждению (профилактике) терроризма должны реализовываться в ходе организации системной работы по недопущению распространения в образовательных организациях радикальной и иной деструктивной идеологии в соответствии со следующей структурой: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bdr w:val="none" w:sz="0" w:space="0" w:color="auto" w:frame="1"/>
        </w:rPr>
        <w:t>1)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t> выявление и идентификация групп обучающихся, наиболее подверженных воздействию негативной информации;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bdr w:val="none" w:sz="0" w:space="0" w:color="auto" w:frame="1"/>
        </w:rPr>
        <w:t>2)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t> диагностика среды распространения данной информации;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bdr w:val="none" w:sz="0" w:space="0" w:color="auto" w:frame="1"/>
        </w:rPr>
        <w:t>3)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t> меры и действия, направленные на предупреждение вовлечения детей и молодежи в деструктивные информационные пространства (мониторинг информационных ресурсов, предположительно содержащих деструктивную информацию).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lastRenderedPageBreak/>
        <w:t>В общеобразовательных и профессиональных образовательных организациях соответствующая работа может быть организована главным образом в рамках профессиональной деятельности </w:t>
      </w:r>
      <w:proofErr w:type="gramStart"/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педагога-психолога</w:t>
      </w:r>
      <w:proofErr w:type="gramEnd"/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 в процессе психологического сопровождения обучающихся, а также в рамках деятельности </w:t>
      </w:r>
      <w:r w:rsidRPr="00AB0EAE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bdr w:val="none" w:sz="0" w:space="0" w:color="auto" w:frame="1"/>
        </w:rPr>
        <w:t>психологической службы</w:t>
      </w:r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 при планировании мероприятий по обеспечению психолого-педагогической безопасности образовательной среды.</w:t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Одним из эффективных инструментов для организации указанной работы станут разрабатываемые Министерством методические рекомендации по психологическому сопровождению обучающихся общеобразовательных организаций, в том числе включающие: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особенности реализации мероприятий в зависимости от определенных категорий обучающихся;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примерные методические комплексы для психологического сопровождения обучающихся общеобразовательных организаций, в том числе программу развития социально-эмоциональных навыков учащихся;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организационно-финансовые и управленческие принципы функционирования системы психологического сопровождения обучающихся общеобразовательных организаций.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5"/>
      </w:tblGrid>
      <w:tr w:rsidR="00AB0EAE" w:rsidRPr="00AB0EAE" w:rsidTr="00AB0EAE">
        <w:trPr>
          <w:trHeight w:val="15"/>
          <w:jc w:val="center"/>
        </w:trPr>
        <w:tc>
          <w:tcPr>
            <w:tcW w:w="1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0EAE" w:rsidRPr="00AB0EAE" w:rsidTr="00AB0EAE">
        <w:trPr>
          <w:jc w:val="center"/>
        </w:trPr>
        <w:tc>
          <w:tcPr>
            <w:tcW w:w="1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625850" cy="1913214"/>
                  <wp:effectExtent l="19050" t="0" r="0" b="0"/>
                  <wp:docPr id="1" name="Рисунок 1" descr="https://api.docs.cntd.ru/img/56/34/00/40/3/86babf05-00a1-45b9-bac9-adf41f2aa239/P0028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docs.cntd.ru/img/56/34/00/40/3/86babf05-00a1-45b9-bac9-adf41f2aa239/P0028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0" cy="191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AB0EAE" w:rsidRPr="00AB0EAE" w:rsidRDefault="00AB0EAE" w:rsidP="00AB0E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    </w:t>
      </w:r>
      <w:r w:rsidRPr="00AB0EAE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bdr w:val="none" w:sz="0" w:space="0" w:color="auto" w:frame="1"/>
        </w:rPr>
        <w:t>Рис.1</w:t>
      </w: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  <w:bdr w:val="none" w:sz="0" w:space="0" w:color="auto" w:frame="1"/>
        </w:rPr>
        <w:t>. Ключевые направления по предупреждению (профилактике) терроризма</w:t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Перечисленные выше направления реализации Комплексного плана предполагают следующие форматы проведения мероприятий: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информационно-просветительские встречи (п.1.6 р.1, п.2.2.1 p.2);</w:t>
      </w:r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________________</w:t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Здесь и далее так обозначены пункты и разделы Комплексного плана.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lastRenderedPageBreak/>
        <w:t> культурно-просветительские мероприятия по антитеррористической тематике (п.2.2.1 р.2);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подготовка произведений (в том числе печатных и аудиовизуальных) по вопросам профилактики терроризма (п.3.1.3 р.3);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внедрение в обучающие программы (в том числе программы повышения квалификации) для педагогических работников (п.4.3.4 р.4, п.4.3.5 р.4);</w:t>
      </w:r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________________</w:t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Так в оригинале. Скорее всего, подразумевается внедрение методик и материалов, предусмотренных указанными пунктами Комплексного плана. - </w:t>
      </w:r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Ред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t>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форумы, фестивали, семинары и иные мероприятия по вопросам предупреждения (профилактики) терроризма (п.4.5.1 р.4);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тематические конкурсы для СМИ (п.4.5.1 р.4).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    </w:t>
      </w:r>
      <w:r w:rsidRPr="00AB0EAE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bdr w:val="none" w:sz="0" w:space="0" w:color="auto" w:frame="1"/>
        </w:rPr>
        <w:t>Информационно-просветительские встречи</w:t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При планировании информационно-просветительских встреч в качестве целевой аудитории мероприятий рекомендуется рассматривать учащихся общеобразовательных организаций в возрасте от 14 лет и студентов, т.е. основную целевую аудиторию воздействия со стороны радикальных движений. В данном случае нецелесообразно выбирать в качестве целевой аудитории педагогическое сообщество, сотрудников ведомственных организаций (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см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>. </w:t>
      </w:r>
      <w:hyperlink r:id="rId11" w:anchor="65E0IS" w:history="1">
        <w:r w:rsidRPr="00AB0EAE">
          <w:rPr>
            <w:rFonts w:ascii="Arial" w:eastAsia="Times New Roman" w:hAnsi="Arial" w:cs="Arial"/>
            <w:color w:val="3451A0"/>
            <w:sz w:val="26"/>
            <w:szCs w:val="26"/>
            <w:u w:val="single"/>
          </w:rPr>
          <w:t>табл.1</w:t>
        </w:r>
      </w:hyperlink>
      <w:r w:rsidRPr="00AB0EAE">
        <w:rPr>
          <w:rFonts w:ascii="Arial" w:eastAsia="Times New Roman" w:hAnsi="Arial" w:cs="Arial"/>
          <w:color w:val="444444"/>
          <w:sz w:val="26"/>
          <w:szCs w:val="26"/>
        </w:rPr>
        <w:t>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2"/>
        <w:gridCol w:w="6733"/>
      </w:tblGrid>
      <w:tr w:rsidR="00AB0EAE" w:rsidRPr="00AB0EAE" w:rsidTr="00AB0EAE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0EAE" w:rsidRPr="00AB0EAE" w:rsidTr="00AB0EA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8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Учащиеся 8-11-х классов, студенты профессиональных образовательных организаций</w:t>
            </w:r>
          </w:p>
        </w:tc>
      </w:tr>
      <w:tr w:rsidR="00AB0EAE" w:rsidRPr="00AB0EAE" w:rsidTr="00AB0EA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8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организации, молодежные организации, культурно-</w:t>
            </w: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просветительские организации и т.п.</w:t>
            </w:r>
          </w:p>
        </w:tc>
      </w:tr>
      <w:tr w:rsidR="00AB0EAE" w:rsidRPr="00AB0EAE" w:rsidTr="00AB0EA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8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25-30 человек (класс, учебная группа)</w:t>
            </w:r>
          </w:p>
        </w:tc>
      </w:tr>
      <w:tr w:rsidR="00AB0EAE" w:rsidRPr="00AB0EAE" w:rsidTr="00AB0EA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Формат мероприятия</w:t>
            </w:r>
          </w:p>
        </w:tc>
        <w:tc>
          <w:tcPr>
            <w:tcW w:w="8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Лекция с элементами беседы, пресс-конференция, мастер-класс, тренинг и т.п.</w:t>
            </w:r>
          </w:p>
        </w:tc>
      </w:tr>
      <w:tr w:rsidR="00AB0EAE" w:rsidRPr="00AB0EAE" w:rsidTr="00AB0EA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Обратная связь</w:t>
            </w:r>
          </w:p>
        </w:tc>
        <w:tc>
          <w:tcPr>
            <w:tcW w:w="8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Анкета (в т.ч. </w:t>
            </w:r>
            <w:proofErr w:type="spell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B0EAE" w:rsidRPr="00AB0EAE" w:rsidTr="00AB0EA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</w:t>
            </w:r>
          </w:p>
        </w:tc>
        <w:tc>
          <w:tcPr>
            <w:tcW w:w="8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Листовка, плакат, интервью, газета (в т.ч. школьная, студенческая и т.п.), журнал, мероприятие для учащихся младших классов (курсов) и т.д.</w:t>
            </w:r>
            <w:proofErr w:type="gramEnd"/>
          </w:p>
        </w:tc>
      </w:tr>
      <w:tr w:rsidR="00AB0EAE" w:rsidRPr="00AB0EAE" w:rsidTr="00AB0EA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8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двух раз в год</w:t>
            </w:r>
          </w:p>
        </w:tc>
      </w:tr>
    </w:tbl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lastRenderedPageBreak/>
        <w:t>Это могут быть встречи детей и молодежи с представителями антитеррористических комиссий субъектов Российской Федерации </w:t>
      </w:r>
      <w:r w:rsidRPr="00AB0EAE">
        <w:rPr>
          <w:rFonts w:ascii="Arial" w:eastAsia="Times New Roman" w:hAnsi="Arial" w:cs="Arial"/>
          <w:i/>
          <w:iCs/>
          <w:color w:val="444444"/>
          <w:sz w:val="26"/>
          <w:szCs w:val="26"/>
          <w:bdr w:val="none" w:sz="0" w:space="0" w:color="auto" w:frame="1"/>
        </w:rPr>
        <w:t>(далее - АТК)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t> или органов местного самоуправления, Национального антитеррористического комитета (НАК), ФСБ, сотрудниками Главного управления по противодействию экстремизму МВД России. Также к этой группе можно отнести проведение различных слетов, конференций, организацию дискуссионных клубов и т.д.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Итогом встречи может быть одобренная всеми ее участниками резолюция или меморандум о дальнейших намерениях участников, перечень правил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медиабезопасности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, разработанный участникам и опубликованный в школьных и (или) студенческих СМИ и </w:t>
      </w:r>
      <w:proofErr w:type="spellStart"/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интернет-сообществах</w:t>
      </w:r>
      <w:proofErr w:type="spellEnd"/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(со ссылками URL).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Информационно-просветительские встречи могут носить как индивидуальный, так и массовый характер и обязательны для групп риска (учащихся 8-11-х классов, студентов 1-2-х курсов). В качестве инициаторов таких встреч могут выступать администрации образовательных организаций, молодежные организации, а также культурно-просветительские организации. При проведении встреч рекомендуется, чтобы количество участников-слушателей не превышало 25-30 человек, поскольку это позволит 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выступающему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держать связь со всей аудиторией. Докладчиком может быть не только приглашенный специалист, но и подготовленный школьник (студент), так как горизонтальное общение (участники - представители 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одного социального уровня) может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быть более эффективным, чем вертикальное (участники - представители разных социальных уровней).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Одной из главных составляющих таких информационно-просветительских встреч должно быть установление обратной связи по обсуждаемых вопросам и представленным материалам (просветительским брошюрам, кинофильмам, видеороликам); в данном случае под обратной связью понимается реакция участников встречи на озвученные вопросы, представленная в виде анкет или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онлайн-опросов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.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Рекомендуется включать в отчетную документацию по проведенным мероприятиям аналитические материалы по собранным отзывам.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    </w:t>
      </w:r>
      <w:r w:rsidRPr="00AB0EAE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bdr w:val="none" w:sz="0" w:space="0" w:color="auto" w:frame="1"/>
        </w:rPr>
        <w:t>Фестивали и культурно-просветительские мероприятия</w:t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При планировании тематических фестивалей и культурно-просветительских мероприятий необходимо обратить внимание на организацию в их рамках круглых столов, тематических встреч с представителями диаспор и этносов, проживающих в субъекте. Одним из планируемых результатов фестивалей и культурно-просветительских мероприятий может быть резолюция участников, включающая в себя решения молодежных организаций по антитеррористическому и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антиэкстремистскому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просвещению. Данные о проведенных в рамках Комплексного плана мероприятиях рекомендуется публиковать в 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lastRenderedPageBreak/>
        <w:t>общедоступных источниках: СМИ, интернет-сайтах мероприятий, сообществах в социальных сетях (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см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>. </w:t>
      </w:r>
      <w:hyperlink r:id="rId12" w:anchor="7D60K4" w:history="1">
        <w:r w:rsidRPr="00AB0EAE">
          <w:rPr>
            <w:rFonts w:ascii="Arial" w:eastAsia="Times New Roman" w:hAnsi="Arial" w:cs="Arial"/>
            <w:color w:val="3451A0"/>
            <w:sz w:val="26"/>
            <w:szCs w:val="26"/>
            <w:u w:val="single"/>
          </w:rPr>
          <w:t>табл.2</w:t>
        </w:r>
      </w:hyperlink>
      <w:r w:rsidRPr="00AB0EAE">
        <w:rPr>
          <w:rFonts w:ascii="Arial" w:eastAsia="Times New Roman" w:hAnsi="Arial" w:cs="Arial"/>
          <w:color w:val="444444"/>
          <w:sz w:val="26"/>
          <w:szCs w:val="26"/>
        </w:rPr>
        <w:t>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Таблица 2</w:t>
      </w:r>
    </w:p>
    <w:p w:rsidR="00AB0EAE" w:rsidRPr="00AB0EAE" w:rsidRDefault="00AB0EAE" w:rsidP="00AB0EAE">
      <w:pPr>
        <w:spacing w:after="24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Таблица 8</w:t>
      </w:r>
    </w:p>
    <w:p w:rsidR="00AB0EAE" w:rsidRPr="00AB0EAE" w:rsidRDefault="00AB0EAE" w:rsidP="00AB0EA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proofErr w:type="spellStart"/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Медиаплан</w:t>
      </w:r>
      <w:proofErr w:type="spellEnd"/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 xml:space="preserve"> информационного сопровождения мероприятий Комплексного плана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62"/>
        <w:gridCol w:w="2100"/>
        <w:gridCol w:w="1654"/>
        <w:gridCol w:w="1114"/>
        <w:gridCol w:w="1225"/>
        <w:gridCol w:w="440"/>
        <w:gridCol w:w="1360"/>
      </w:tblGrid>
      <w:tr w:rsidR="00AB0EAE" w:rsidRPr="00AB0EAE" w:rsidTr="00AB0EAE">
        <w:trPr>
          <w:trHeight w:val="1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Комплексного плана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Фестиваль социальных видеороликов (п.4.5.1 р.4)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образовательной программы (п.4.3.4. р.4)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</w:t>
            </w:r>
            <w:proofErr w:type="gram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ционно</w:t>
            </w:r>
            <w:proofErr w:type="spell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просвети-</w:t>
            </w: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тельская</w:t>
            </w:r>
            <w:proofErr w:type="spell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встреча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в АТК региона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 мероприятий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Дата проведения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2019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2019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2019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2019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Целевая аудитория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общеобразовательных и профессиональных образовательных организаций, всего 2500 человек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Педагоги, специалисты по воспитательной работе, молодежные организации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</w:t>
            </w:r>
            <w:proofErr w:type="gram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тели</w:t>
            </w:r>
            <w:proofErr w:type="spell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АТК и НАК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Студенты - N охват,</w:t>
            </w: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педагоги - М охват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январь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февраль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март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апрель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Интервью с разработчиками программы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май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июнь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июль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август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Анонс в </w:t>
            </w:r>
            <w:proofErr w:type="gram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молодежном</w:t>
            </w:r>
            <w:proofErr w:type="gramEnd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интернет-сообществе</w:t>
            </w:r>
            <w:proofErr w:type="spell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сентябрь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Пресс-релиз </w:t>
            </w: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для студенческих СМИ и интернет-сайтов образовательных организаций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Презентаци</w:t>
            </w: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я образовательной программы для федеральных СМИ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октябрь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ноябрь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образовательной программы </w:t>
            </w:r>
            <w:proofErr w:type="gramStart"/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Анонс в группе школы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  <w:tr w:rsidR="00AB0EAE" w:rsidRPr="00AB0EAE" w:rsidTr="00AB0EAE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декабрь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региональных СМИ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Сообщение в СМИ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0EAE" w:rsidRPr="00AB0EAE" w:rsidRDefault="00AB0EAE" w:rsidP="00AB0E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EA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</w:tc>
      </w:tr>
    </w:tbl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5. Заключительный пресс-релиз с комментариями участников - размещается в день завершения мероприятия или на следующий день.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Заключительный пресс-релиз представляет собой отчет (или репортаж) с прошедшего мероприятия со сведениями об участниках, обсужденных вопросах, ключевых событиях, включает комментарии участников о прошедшем событии, сопровождается фото-, видео- или аудиоматериалами.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При проведении массовых мероприятий регионального значения по антитеррористической и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антиэкстремистской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тематике рекомендуется прибегать к специальным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пресс-мероприятиям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: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пресс-подходы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во время мероприятия или пресс-конференции, брифинг и др. Работа СМИ при этом может строиться отдельно - в зависимости от поступающих запросов журналистов могут быть организованы интервью,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пресс-завтраки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и другие мероприятия.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  <w:proofErr w:type="gramEnd"/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Вся деятельность по информационному сопровождению мероприятий антитеррористической и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антиэкстремистской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направленности должна быть оценена с учетом эффективности, которая предполагает количественные и качественные оценки. Количественный показатель измеряется в штуках (количество публикаций, видеороликов,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аудиопрограмм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) и в рублях (подсчитывается стоимость рекламы, эквивалентной полученному количеству и площадям публикаций). Качественный показатель выражается через долю охваченной аудитории от всей целевой аудитории мероприятия Комплексного плана в регионе.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    </w:t>
      </w:r>
      <w:r w:rsidRPr="00AB0EAE">
        <w:rPr>
          <w:rFonts w:ascii="Arial" w:eastAsia="Times New Roman" w:hAnsi="Arial" w:cs="Arial"/>
          <w:b/>
          <w:bCs/>
          <w:i/>
          <w:iCs/>
          <w:color w:val="444444"/>
          <w:sz w:val="26"/>
          <w:szCs w:val="26"/>
          <w:bdr w:val="none" w:sz="0" w:space="0" w:color="auto" w:frame="1"/>
        </w:rPr>
        <w:t>Общие рекомендации по тематическим пунктам Комплексного плана</w:t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Для информационного сопровождения антитеррористической деятельности в Комплексном плане предусмотрены пункты, касающиеся 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lastRenderedPageBreak/>
        <w:t>информационного сопровождения деятельности по предупреждению (профилактике) терроризма.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Одно из них касается разработки информационных материалов (печатных, аудиовизуальных и электронных) по вопросам профилактики терроризма. Это могут быть научно-популярные статьи, художественные произведения, рекомендации в формате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инфографики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и серии информационных карточек с иллюстрациями (п.3.1.3 р.3).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На данный момент уже разработано достаточное количество видеороликов, фильмов, методических материалов, плакатов по вопросам предупреждения (профилактики) терроризма (см. ресурсы "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www.scienceport.ru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", "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НЦПТИ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.р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>ф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", "vk.com/ncpti_rnd"). Их можно использовать для первичного наполнения страниц в социальных сетях, на молодежных порталах,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интернет-ресурсах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образовательных организаций, но этого недостаточно для выполнения требований в этом направлении (п.3.1.4 р.3).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В дальнейшем необходимо вести работу по подготовке собственных публикаций. Реализацию этого направления можно вести совместно с другими видами деятельности по предупреждению (профилактике) терроризма, например, с организацией конкурсных мероприятий "Лучшая телевизионная программа", "Лучший телевизионный фильм", "Лучшая журналистская работа" (п.4.5.1 р.4).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Информационное сопровождение деятельности по предупреждению (профилактике) терроризма ориентировано на молодежь (дети школьного возраста, студенты профессиональных образовательных организаций). Учитывая целевую аудиторию, работу в этом направлении рекомендуется адаптировать в соответствии с возрастом и кругом интересов молодежи. В качестве основного информационного пространства настоящее время выступает интернет-среда. По данным ВЦИОМ от 20 сентября 2018 г. в России 81% граждан в той или иной степенью пользуются Интернетом. Наиболее активную аудиторию составляют 18-24-летние (97% пользуются Интернетом ежедневно).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При этом самыми популярными социальными сетями у россиян являются "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ВКонтакте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", "Одноклассники" и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Instagram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. Так, у каждого третьего (28%) есть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аккаунт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в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соцсети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"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ВКонтакте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", у каждого пятого (19%) - в "Одноклассниках", у 14% - в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Instagram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. 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Большинство пользователей "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ВКонтакте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" (40%) - это люди в возрасте от 25 до 34 лет, в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Instagram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зарегистрированы в основном россияне в возрасте от 18 до 24 лет (38%) и от 25 до 34 лет (37%).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В "Одноклассниках" молодежи немного (не более 8% россиян в возрасте от 18 до 24 лет).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Согласно другому исследованию, 55% опрошенных используют Интернет для получения необходимой информации, расширения кругозора, отслеживания новостей, событий в мире и стране, 50% - для работы 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lastRenderedPageBreak/>
        <w:t>(учебы), вопреки распространенному мнению о том, что интернет используется в первую очередь для игр - 31%, и общения с людьми, близкими по интересам - 32%.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Представленные данные являются отражением современной реальности, поэтому информационное сопровождение рекомендуется в первую очередь вести, используя Интернет, приложения для мобильных устройств.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В соответствии с п.2.1 р.2, который предполагает проведение общественно-политических, культурных и спортивных мероприятий, посвященных Дню солидарности в борьбе с терроризмом (3 сентября), при 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реализации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которых необходимо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спорта, рекомендуется охватывать большее количество порталов образовательных организаций, а информационные материалы для молодежи размещать в социальных сетях и на </w:t>
      </w:r>
      <w:proofErr w:type="spellStart"/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интернет-платформах</w:t>
      </w:r>
      <w:proofErr w:type="spellEnd"/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>, ориентированных для данной категории пользователей.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При создании произведений, направленных на предупреждение (профилактику) терроризма (научно-популярного, документального или художественного характера), рекомендуется рассмотреть возможность (с учетом целевой аудитории) издавать таковые в научно-популярном стиле, информация не должна быть перегружена сложной терминологией. Сообщения делить на основные темы (главы), сопровождать иллюстрациями, важные смысловые детали выделять в общем тексте изменением размера и начертания текста (применение жирного начертания или курсива), правила рекомендуется оформлять в рамку.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Для популяризации и охвата наибольшего количества аудитории в распространении информационных материалов следует использовать социальные сети и группы 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в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популярных среди молодежи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мессенджеров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. Эти же рекомендации относятся к организации круглых столов, семинаров и иных мероприятий.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При создании тематических разделов на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интернет-ресурсах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(на сайте органа исполнительной власти субъекта Российской Федерации, образовательной организации и т.п.) необходимо обеспечить наполняемость таких разделов в том числе ссылками на нормативные правовые акты и специализированные ресурсы (такие как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www.scienceport.ru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,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НЦПТИ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.р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>ф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). Кроме того, страницу необходимо дополнять информационными материалами: в течение года должно быть не менее 12 обновлений раздела сайта.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Также необходимо включить в проводимую работу официальные группы органов исполнительной власти субъектов Российской Федерации и 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lastRenderedPageBreak/>
        <w:t xml:space="preserve">образовательных организаций в социальных сетях. В группе в социальной сети сообщения антитеррористического и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антиэкстремистского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характера должны появляться не реже одного раза в две недели, то есть в течение года должно быть сделано не менее 25 публикаций. Ссылки на каждую публикацию обязательно указываются в отчете.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Как уже отмечалось выше, для привлечения молодежи к актуальной теме предупреждения (профилактики) терроризма рекомендуется использовать такую форму работы, как организация конкурсных мероприятий. Одним из способов создания информационных ресурсов может быть организация конкурсных работ среди студентов и старших школьников в разработке </w:t>
      </w:r>
      <w:proofErr w:type="spellStart"/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интернет-страниц</w:t>
      </w:r>
      <w:proofErr w:type="spellEnd"/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(сайтов) и мобильных приложений.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Отчет о проделанной работе в рамках исполнения мероприятий Комплексного плана после корректировки может быть опубликован в специальном разделе на сайте регионального министерства или образовательной организации. Под корректировкой в данном случае понимается исключение информации, которая не подлежит раскрытию и (или) обнародование которой нецелесообразно (например, о планируемых массовых мероприятиях и акциях).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Лучшим способом представить данную информацию будет написание и размещение аналитической записки, обзора (с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фотоотчетом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), презентации.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b/>
          <w:bCs/>
          <w:color w:val="444444"/>
          <w:sz w:val="26"/>
          <w:szCs w:val="26"/>
        </w:rPr>
        <w:t>Список рекомендованных источников</w:t>
      </w:r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     </w:t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1. Дополнительная образовательная программа "Гражданское население в противодействии распространению идеологии терроризма". Министерство образования и науки Российской Федерации. М., 2015.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2. ИГИЛ - это не ислам! ФГБОУ ВПО "Уральский государственный горный университет". Екатеринбург, 2015.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3. Караваев А.Г. Методические рекомендации по совершенствованию пропагандистской работы в сфере противодействия распространению идеологии терроризма в субъектах Российской Федерации. М., 2013.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4. Колесов Д.В., Максимов С.В., Соколов С.В. Остановим терроризм. М., 2012.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5. Колесов Д.В., Максимов С.В., Соколов С.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В.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Что такое терроризм? М., 2012.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6. Наука и образование против террора [Электронный ресурс]: URL: http://scienceport.ru.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lastRenderedPageBreak/>
        <w:t>7. Национальный антитеррористический комитет [Электронный ресурс]: URL: http://nac.gov.ru.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8. Национальный центр информационного противодействия терроризму и экстремизму в образовательной среде и сети Интернет [Электронный ресурс]: URL: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НЦПТИ.рф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9. НЦПТИ. Информационно-просветительский ресурс. Группа в социальной сети "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Вконтакте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" [Электронный ресурс]: URL: http://vk.com/ncpti_rnd.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10. Общественная безопасность: новые идеи и вызовы времени. Материалы межрегиональной научно-практической конференции по профилактике экстремизма. Мелеуз, Республика Башкортостан, 2016.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11. Противодействие терроризму в Российской Федерации и личная безопасность граждан. Вопросы и ответы. М., 2008.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12. Страшная сказка ИГИЛ. Подготовлено Общественной палатой РФ. М., 2015.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13. ИГИЛ - угроза человечеству. Почему необходимо уничтожить терроризм. Подготовлено Общественной палатой РФ. М., 2016.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14. Экстремизм - идеология и основа терроризма. Пособие для учащихся 10-11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кл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./под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.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</w:t>
      </w:r>
      <w:proofErr w:type="spellStart"/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р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>ед.А.Т.Смирнова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>. М., 2011.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15.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Эмануилов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Р.Я., </w:t>
      </w:r>
      <w:proofErr w:type="spell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Яшлавский</w:t>
      </w:r>
      <w:proofErr w:type="spellEnd"/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 А.Э. Терроризм под флагом веры. М., 2015.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16. Концепция развития психологической службы в системе образования в Российской Федерации на период до 2025 года, утвержденная министром образования и науки 19 декабря 2017 года.</w:t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  <w:r w:rsidRPr="00AB0EAE">
        <w:rPr>
          <w:rFonts w:ascii="Arial" w:eastAsia="Times New Roman" w:hAnsi="Arial" w:cs="Arial"/>
          <w:color w:val="444444"/>
          <w:sz w:val="26"/>
          <w:szCs w:val="26"/>
        </w:rPr>
        <w:br/>
      </w:r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Электронный текст документа</w:t>
      </w:r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 xml:space="preserve">подготовлен АО "Кодекс" и сверен </w:t>
      </w:r>
      <w:proofErr w:type="gramStart"/>
      <w:r w:rsidRPr="00AB0EAE">
        <w:rPr>
          <w:rFonts w:ascii="Arial" w:eastAsia="Times New Roman" w:hAnsi="Arial" w:cs="Arial"/>
          <w:color w:val="444444"/>
          <w:sz w:val="26"/>
          <w:szCs w:val="26"/>
        </w:rPr>
        <w:t>по</w:t>
      </w:r>
      <w:proofErr w:type="gramEnd"/>
      <w:r w:rsidRPr="00AB0EAE">
        <w:rPr>
          <w:rFonts w:ascii="Arial" w:eastAsia="Times New Roman" w:hAnsi="Arial" w:cs="Arial"/>
          <w:color w:val="444444"/>
          <w:sz w:val="26"/>
          <w:szCs w:val="26"/>
        </w:rPr>
        <w:t>:</w:t>
      </w:r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Администратор образования,</w:t>
      </w:r>
    </w:p>
    <w:p w:rsidR="00AB0EAE" w:rsidRPr="00AB0EAE" w:rsidRDefault="00AB0EAE" w:rsidP="00AB0EA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AB0EAE">
        <w:rPr>
          <w:rFonts w:ascii="Arial" w:eastAsia="Times New Roman" w:hAnsi="Arial" w:cs="Arial"/>
          <w:color w:val="444444"/>
          <w:sz w:val="26"/>
          <w:szCs w:val="26"/>
        </w:rPr>
        <w:t>N 19, октябрь 2019 года</w:t>
      </w:r>
    </w:p>
    <w:p w:rsidR="00000000" w:rsidRPr="00AB0EAE" w:rsidRDefault="00AB0EAE">
      <w:pPr>
        <w:rPr>
          <w:sz w:val="26"/>
          <w:szCs w:val="26"/>
        </w:rPr>
      </w:pPr>
    </w:p>
    <w:sectPr w:rsidR="00000000" w:rsidRPr="00AB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B0EAE"/>
    <w:rsid w:val="00AB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B0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B0E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E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B0E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B0E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AB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B0EAE"/>
    <w:rPr>
      <w:color w:val="0000FF"/>
      <w:u w:val="single"/>
    </w:rPr>
  </w:style>
  <w:style w:type="paragraph" w:customStyle="1" w:styleId="formattext">
    <w:name w:val="formattext"/>
    <w:basedOn w:val="a"/>
    <w:rsid w:val="00AB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B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929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99293" TargetMode="External"/><Relationship Id="rId12" Type="http://schemas.openxmlformats.org/officeDocument/2006/relationships/hyperlink" Target="https://docs.cntd.ru/document/5634004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3400403" TargetMode="External"/><Relationship Id="rId11" Type="http://schemas.openxmlformats.org/officeDocument/2006/relationships/hyperlink" Target="https://docs.cntd.ru/document/563400403" TargetMode="External"/><Relationship Id="rId5" Type="http://schemas.openxmlformats.org/officeDocument/2006/relationships/hyperlink" Target="https://docs.cntd.ru/document/902099293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docs.cntd.ru/document/563400403" TargetMode="External"/><Relationship Id="rId9" Type="http://schemas.openxmlformats.org/officeDocument/2006/relationships/hyperlink" Target="https://docs.cntd.ru/document/9021802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3162</Words>
  <Characters>18024</Characters>
  <Application>Microsoft Office Word</Application>
  <DocSecurity>0</DocSecurity>
  <Lines>150</Lines>
  <Paragraphs>42</Paragraphs>
  <ScaleCrop>false</ScaleCrop>
  <Company>Microsoft</Company>
  <LinksUpToDate>false</LinksUpToDate>
  <CharactersWithSpaces>21144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2022-02-04T05:33:00Z</dcterms:created>
  <dcterms:modified xsi:type="dcterms:W3CDTF">2022-02-04T05:34:00Z</dcterms:modified>
</cp:coreProperties>
</file>